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A59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color w:val="000000" w:themeColor="text1"/>
          <w:sz w:val="40"/>
          <w:szCs w:val="40"/>
          <w:lang w:val="en-US" w:eastAsia="zh-CN"/>
          <w14:textFill>
            <w14:solidFill>
              <w14:schemeClr w14:val="tx1"/>
            </w14:solidFill>
          </w14:textFill>
        </w:rPr>
      </w:pPr>
      <w:r>
        <w:rPr>
          <w:rFonts w:hint="eastAsia" w:ascii="Times New Roman" w:hAnsi="Times New Roman" w:eastAsia="方正小标宋_GBK" w:cs="Times New Roman"/>
          <w:color w:val="000000" w:themeColor="text1"/>
          <w:sz w:val="40"/>
          <w:szCs w:val="40"/>
          <w:lang w:val="en-US" w:eastAsia="zh-CN"/>
          <w14:textFill>
            <w14:solidFill>
              <w14:schemeClr w14:val="tx1"/>
            </w14:solidFill>
          </w14:textFill>
        </w:rPr>
        <w:t>第二期中小学教育管理干部</w:t>
      </w:r>
    </w:p>
    <w:p w14:paraId="1DAD74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000000" w:themeColor="text1"/>
          <w:sz w:val="40"/>
          <w:szCs w:val="40"/>
          <w:lang w:val="en-US" w:eastAsia="zh-CN"/>
          <w14:textFill>
            <w14:solidFill>
              <w14:schemeClr w14:val="tx1"/>
            </w14:solidFill>
          </w14:textFill>
        </w:rPr>
      </w:pPr>
      <w:r>
        <w:rPr>
          <w:rFonts w:hint="eastAsia" w:ascii="Times New Roman" w:hAnsi="Times New Roman" w:eastAsia="方正小标宋_GBK" w:cs="Times New Roman"/>
          <w:color w:val="000000" w:themeColor="text1"/>
          <w:sz w:val="40"/>
          <w:szCs w:val="40"/>
          <w:lang w:val="en-US" w:eastAsia="zh-CN"/>
          <w14:textFill>
            <w14:solidFill>
              <w14:schemeClr w14:val="tx1"/>
            </w14:solidFill>
          </w14:textFill>
        </w:rPr>
        <w:t>心理健康育人能力提升专项培训方案</w:t>
      </w:r>
    </w:p>
    <w:p w14:paraId="247DCF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i w:val="0"/>
          <w:iCs w:val="0"/>
          <w:caps w:val="0"/>
          <w:color w:val="000000" w:themeColor="text1"/>
          <w:spacing w:val="0"/>
          <w:sz w:val="32"/>
          <w:szCs w:val="32"/>
          <w:shd w:val="clear" w:color="auto" w:fill="FFFFFF"/>
          <w:lang w:val="en-US" w:eastAsia="zh-CN"/>
          <w14:textFill>
            <w14:solidFill>
              <w14:schemeClr w14:val="tx1"/>
            </w14:solidFill>
          </w14:textFill>
        </w:rPr>
      </w:pPr>
    </w:p>
    <w:p w14:paraId="01C231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为贯彻落实国家</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省</w:t>
      </w:r>
      <w:r>
        <w:rPr>
          <w:rFonts w:hint="eastAsia" w:ascii="Times New Roman" w:hAnsi="Times New Roman" w:eastAsia="方正仿宋_GB2312" w:cs="Times New Roman"/>
          <w:sz w:val="32"/>
          <w:szCs w:val="32"/>
          <w:lang w:val="en-US" w:eastAsia="zh-CN"/>
        </w:rPr>
        <w:t>加强</w:t>
      </w:r>
      <w:r>
        <w:rPr>
          <w:rFonts w:hint="default" w:ascii="Times New Roman" w:hAnsi="Times New Roman" w:eastAsia="方正仿宋_GB2312" w:cs="Times New Roman"/>
          <w:sz w:val="32"/>
          <w:szCs w:val="32"/>
          <w:lang w:val="en-US" w:eastAsia="zh-CN"/>
        </w:rPr>
        <w:t>学生心理健康工作文件</w:t>
      </w:r>
      <w:r>
        <w:rPr>
          <w:rFonts w:hint="eastAsia" w:ascii="Times New Roman" w:hAnsi="Times New Roman" w:eastAsia="方正仿宋_GB2312" w:cs="Times New Roman"/>
          <w:sz w:val="32"/>
          <w:szCs w:val="32"/>
          <w:lang w:val="en-US" w:eastAsia="zh-CN"/>
        </w:rPr>
        <w:t>要求</w:t>
      </w:r>
      <w:r>
        <w:rPr>
          <w:rFonts w:hint="default" w:ascii="Times New Roman" w:hAnsi="Times New Roman" w:eastAsia="方正仿宋_GB2312" w:cs="Times New Roman"/>
          <w:sz w:val="32"/>
          <w:szCs w:val="32"/>
          <w:lang w:val="en-US" w:eastAsia="zh-CN"/>
        </w:rPr>
        <w:t>，牢固树立</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健康第一</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教育理念，</w:t>
      </w:r>
      <w:r>
        <w:rPr>
          <w:rFonts w:hint="eastAsia" w:ascii="Times New Roman" w:hAnsi="Times New Roman" w:eastAsia="方正仿宋_GB2312" w:cs="Times New Roman"/>
          <w:sz w:val="32"/>
          <w:szCs w:val="32"/>
          <w:lang w:val="en-US" w:eastAsia="zh-CN"/>
        </w:rPr>
        <w:t>全面</w:t>
      </w:r>
      <w:r>
        <w:rPr>
          <w:rFonts w:hint="default" w:ascii="Times New Roman" w:hAnsi="Times New Roman" w:eastAsia="方正仿宋_GB2312" w:cs="Times New Roman"/>
          <w:sz w:val="32"/>
          <w:szCs w:val="32"/>
          <w:lang w:val="en-US" w:eastAsia="zh-CN"/>
        </w:rPr>
        <w:t>提升中小学教育管理干部心理育人意识与履职能力，2025年，江苏省少年儿童研究会心理健康专业委员会联合全省16个县（市、区）教育部门，成功举办首期中小学教育管理干部心理健康育人能力提升专项培训，累计培训学员960余人，培训</w:t>
      </w:r>
      <w:r>
        <w:rPr>
          <w:rFonts w:hint="eastAsia" w:ascii="Times New Roman" w:hAnsi="Times New Roman" w:eastAsia="方正仿宋_GB2312" w:cs="Times New Roman"/>
          <w:sz w:val="32"/>
          <w:szCs w:val="32"/>
          <w:lang w:val="en-US" w:eastAsia="zh-CN"/>
        </w:rPr>
        <w:t>效果良好</w:t>
      </w:r>
      <w:r>
        <w:rPr>
          <w:rFonts w:hint="default" w:ascii="Times New Roman" w:hAnsi="Times New Roman" w:eastAsia="方正仿宋_GB2312" w:cs="Times New Roman"/>
          <w:sz w:val="32"/>
          <w:szCs w:val="32"/>
          <w:lang w:val="en-US" w:eastAsia="zh-CN"/>
        </w:rPr>
        <w:t>，得到参训学员的广泛认可与高度评价。</w:t>
      </w:r>
    </w:p>
    <w:p w14:paraId="48C540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i w:val="0"/>
          <w:iCs w:val="0"/>
          <w:caps w:val="0"/>
          <w:color w:val="000000" w:themeColor="text1"/>
          <w:spacing w:val="0"/>
          <w:sz w:val="32"/>
          <w:szCs w:val="32"/>
          <w:shd w:val="clear" w:color="auto" w:fill="FFFFFF"/>
          <w:lang w:val="en-US" w:eastAsia="zh-CN"/>
          <w14:textFill>
            <w14:solidFill>
              <w14:schemeClr w14:val="tx1"/>
            </w14:solidFill>
          </w14:textFill>
        </w:rPr>
      </w:pPr>
      <w:r>
        <w:rPr>
          <w:rFonts w:hint="default" w:ascii="Times New Roman" w:hAnsi="Times New Roman" w:eastAsia="方正仿宋_GB2312" w:cs="Times New Roman"/>
          <w:sz w:val="32"/>
          <w:szCs w:val="32"/>
          <w:lang w:val="en-US" w:eastAsia="zh-CN"/>
        </w:rPr>
        <w:t>为进一步扩大培训覆盖面</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让更多中小学教育管理干部共享优质培训资源，江苏省少年儿童研究会心理健康专业委员会决定举办第二期该专项培训。</w:t>
      </w:r>
      <w:r>
        <w:rPr>
          <w:rFonts w:hint="eastAsia" w:ascii="Times New Roman" w:hAnsi="Times New Roman" w:eastAsia="方正仿宋_GB2312" w:cs="Times New Roman"/>
          <w:sz w:val="32"/>
          <w:szCs w:val="32"/>
          <w:lang w:val="en-US" w:eastAsia="zh-CN"/>
        </w:rPr>
        <w:t>具体</w:t>
      </w:r>
      <w:r>
        <w:rPr>
          <w:rFonts w:hint="default" w:ascii="Times New Roman" w:hAnsi="Times New Roman" w:eastAsia="方正仿宋_GB2312" w:cs="Times New Roman"/>
          <w:sz w:val="32"/>
          <w:szCs w:val="32"/>
          <w:lang w:val="en-US" w:eastAsia="zh-CN"/>
        </w:rPr>
        <w:t>方案如下</w:t>
      </w:r>
      <w:r>
        <w:rPr>
          <w:rFonts w:hint="eastAsia" w:ascii="Times New Roman" w:hAnsi="Times New Roman" w:eastAsia="方正仿宋_GB2312" w:cs="Times New Roman"/>
          <w:sz w:val="32"/>
          <w:szCs w:val="32"/>
          <w:lang w:val="en-US" w:eastAsia="zh-CN"/>
        </w:rPr>
        <w:t>：</w:t>
      </w:r>
    </w:p>
    <w:p w14:paraId="1FC3E05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组织单位</w:t>
      </w:r>
    </w:p>
    <w:p w14:paraId="02E49E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仿宋_GB2312" w:cs="Times New Roman"/>
          <w:color w:val="000000" w:themeColor="text1"/>
          <w:spacing w:val="-6"/>
          <w:sz w:val="32"/>
          <w:szCs w:val="32"/>
          <w:lang w:val="en-US" w:eastAsia="zh-CN"/>
          <w14:textFill>
            <w14:solidFill>
              <w14:schemeClr w14:val="tx1"/>
            </w14:solidFill>
          </w14:textFill>
        </w:rPr>
      </w:pP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主办单位：江苏省少年儿童研究会心理健康专业委员会</w:t>
      </w:r>
    </w:p>
    <w:p w14:paraId="579986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承办单位：心理健康辅导员网</w:t>
      </w:r>
    </w:p>
    <w:p w14:paraId="32E54A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协办单位：</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相关设区市或县（市、区）教育部门</w:t>
      </w:r>
    </w:p>
    <w:p w14:paraId="7A60DFC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培训对象</w:t>
      </w:r>
    </w:p>
    <w:p w14:paraId="724395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color w:val="000000" w:themeColor="text1"/>
          <w:sz w:val="32"/>
          <w:szCs w:val="32"/>
          <w:lang w:val="en-US" w:eastAsia="zh-CN"/>
          <w14:textFill>
            <w14:solidFill>
              <w14:schemeClr w14:val="tx1"/>
            </w14:solidFill>
          </w14:textFill>
        </w:rPr>
      </w:pPr>
      <w:r>
        <w:rPr>
          <w:rFonts w:hint="eastAsia" w:ascii="仿宋" w:hAnsi="仿宋" w:eastAsia="仿宋"/>
          <w:sz w:val="32"/>
          <w:szCs w:val="32"/>
          <w:lang w:val="en-US" w:eastAsia="zh-CN"/>
        </w:rPr>
        <w:t>全省</w:t>
      </w:r>
      <w:r>
        <w:rPr>
          <w:rFonts w:hint="eastAsia" w:ascii="仿宋" w:hAnsi="仿宋" w:eastAsia="仿宋"/>
          <w:sz w:val="32"/>
          <w:szCs w:val="32"/>
        </w:rPr>
        <w:t>各地教育</w:t>
      </w:r>
      <w:r>
        <w:rPr>
          <w:rFonts w:hint="eastAsia" w:ascii="仿宋" w:hAnsi="仿宋" w:eastAsia="仿宋"/>
          <w:sz w:val="32"/>
          <w:szCs w:val="32"/>
          <w:lang w:eastAsia="zh-CN"/>
        </w:rPr>
        <w:t>（</w:t>
      </w:r>
      <w:r>
        <w:rPr>
          <w:rFonts w:hint="eastAsia" w:ascii="仿宋" w:hAnsi="仿宋" w:eastAsia="仿宋"/>
          <w:sz w:val="32"/>
          <w:szCs w:val="32"/>
          <w:lang w:val="en-US" w:eastAsia="zh-CN"/>
        </w:rPr>
        <w:t>教体）</w:t>
      </w:r>
      <w:r>
        <w:rPr>
          <w:rFonts w:hint="eastAsia" w:ascii="仿宋" w:hAnsi="仿宋" w:eastAsia="仿宋"/>
          <w:sz w:val="32"/>
          <w:szCs w:val="32"/>
        </w:rPr>
        <w:t>局</w:t>
      </w:r>
      <w:r>
        <w:rPr>
          <w:rFonts w:hint="eastAsia" w:ascii="仿宋" w:hAnsi="仿宋" w:eastAsia="仿宋"/>
          <w:sz w:val="32"/>
          <w:szCs w:val="32"/>
          <w:lang w:val="en-US" w:eastAsia="zh-CN"/>
        </w:rPr>
        <w:t>分管领导</w:t>
      </w:r>
      <w:r>
        <w:rPr>
          <w:rFonts w:hint="eastAsia" w:ascii="仿宋" w:hAnsi="仿宋" w:eastAsia="仿宋"/>
          <w:sz w:val="32"/>
          <w:szCs w:val="32"/>
        </w:rPr>
        <w:t>、德育/基教</w:t>
      </w:r>
      <w:r>
        <w:rPr>
          <w:rFonts w:hint="eastAsia" w:ascii="仿宋" w:hAnsi="仿宋" w:eastAsia="仿宋"/>
          <w:sz w:val="32"/>
          <w:szCs w:val="32"/>
          <w:lang w:val="en-US" w:eastAsia="zh-CN"/>
        </w:rPr>
        <w:t>负责人</w:t>
      </w:r>
      <w:r>
        <w:rPr>
          <w:rFonts w:hint="eastAsia" w:ascii="仿宋" w:hAnsi="仿宋" w:eastAsia="仿宋"/>
          <w:sz w:val="32"/>
          <w:szCs w:val="32"/>
        </w:rPr>
        <w:t>、心理教研（研训）员及中小学</w:t>
      </w:r>
      <w:r>
        <w:rPr>
          <w:rFonts w:hint="eastAsia" w:ascii="仿宋" w:hAnsi="仿宋" w:eastAsia="仿宋"/>
          <w:sz w:val="32"/>
          <w:szCs w:val="32"/>
          <w:lang w:val="en-US" w:eastAsia="zh-CN"/>
        </w:rPr>
        <w:t>书记、</w:t>
      </w:r>
      <w:r>
        <w:rPr>
          <w:rFonts w:hint="eastAsia" w:ascii="仿宋" w:hAnsi="仿宋" w:eastAsia="仿宋"/>
          <w:sz w:val="32"/>
          <w:szCs w:val="32"/>
        </w:rPr>
        <w:t>校长、德育副校长等从事学生心理健康相关工作的教育管理干部</w:t>
      </w:r>
      <w:r>
        <w:rPr>
          <w:rFonts w:hint="eastAsia" w:ascii="仿宋" w:hAnsi="仿宋" w:eastAsia="仿宋"/>
          <w:sz w:val="32"/>
          <w:szCs w:val="32"/>
          <w:lang w:eastAsia="zh-CN"/>
        </w:rPr>
        <w:t>。</w:t>
      </w:r>
    </w:p>
    <w:p w14:paraId="79153F5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培训目标</w:t>
      </w:r>
    </w:p>
    <w:p w14:paraId="204FF1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帮助</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中小学</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教育管理干部深化对心理健康工作的认识，提升政策落地、体系构建与统筹推进能力，推动学校心理健康教育工作科学规划、有效推进</w:t>
      </w:r>
      <w:r>
        <w:rPr>
          <w:rFonts w:hint="default" w:ascii="Times New Roman" w:hAnsi="Times New Roman" w:eastAsia="方正仿宋_GBK" w:cs="Times New Roman"/>
          <w:sz w:val="32"/>
          <w:szCs w:val="32"/>
          <w:lang w:val="en-US" w:eastAsia="zh-CN"/>
        </w:rPr>
        <w:t>。</w:t>
      </w:r>
    </w:p>
    <w:p w14:paraId="33646FB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培训内容、课时及周期</w:t>
      </w:r>
    </w:p>
    <w:p w14:paraId="5A2251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Times New Roman" w:hAnsi="Times New Roman" w:eastAsia="方正仿宋_GB2312" w:cs="Times New Roman"/>
          <w:b w:val="0"/>
          <w:bCs w:val="0"/>
          <w:color w:val="000000" w:themeColor="text1"/>
          <w:sz w:val="32"/>
          <w:szCs w:val="32"/>
          <w:vertAlign w:val="baseline"/>
          <w:lang w:val="en-US" w:eastAsia="zh-CN"/>
          <w14:textFill>
            <w14:solidFill>
              <w14:schemeClr w14:val="tx1"/>
            </w14:solidFill>
          </w14:textFill>
        </w:rPr>
        <w:t>培训内容主要包括心理健康教育政策与发展、心理健康基础理论、中小学心理健康教育体系建设、中小学生心理生理特征及身心发展规律、中小学生常见心理问题的识别与应对、中小学心理健康跨学科融合教育等（</w:t>
      </w:r>
      <w:r>
        <w:rPr>
          <w:rFonts w:hint="eastAsia" w:ascii="仿宋" w:hAnsi="仿宋" w:eastAsia="仿宋"/>
          <w:sz w:val="32"/>
          <w:szCs w:val="32"/>
          <w:lang w:val="en-US" w:eastAsia="zh-CN"/>
        </w:rPr>
        <w:t>具体课程目录及授课专家介绍见附件1）</w:t>
      </w:r>
      <w:r>
        <w:rPr>
          <w:rFonts w:hint="eastAsia" w:ascii="Times New Roman" w:hAnsi="Times New Roman" w:eastAsia="方正仿宋_GB2312" w:cs="Times New Roman"/>
          <w:b w:val="0"/>
          <w:bCs w:val="0"/>
          <w:color w:val="000000" w:themeColor="text1"/>
          <w:sz w:val="32"/>
          <w:szCs w:val="32"/>
          <w:vertAlign w:val="baseline"/>
          <w:lang w:val="en-US" w:eastAsia="zh-CN"/>
          <w14:textFill>
            <w14:solidFill>
              <w14:schemeClr w14:val="tx1"/>
            </w14:solidFill>
          </w14:textFill>
        </w:rPr>
        <w:t>。培训共计40课时（必修34课时、选修6课时），平均每课时45分钟，</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培训周期</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为9</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0天。</w:t>
      </w:r>
    </w:p>
    <w:p w14:paraId="5A96120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培训方式及考核方式</w:t>
      </w:r>
    </w:p>
    <w:p w14:paraId="751D26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学员通过电脑、手机、平板等设备，在线按顺序观看网络课程视频，并完成各章节配套练习和模拟考试</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w:t>
      </w:r>
    </w:p>
    <w:p w14:paraId="2A4949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学员须在规定时间内</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完成</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全部</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课程学习</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，并在指定时间、地点参加集中在线</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结业考试</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。考试</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成绩合格</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者，学习</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平台自动生成电子版《合格证书》</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；成绩不合格者，可补考一次</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w:t>
      </w:r>
    </w:p>
    <w:p w14:paraId="12821F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六、组织报名</w:t>
      </w:r>
    </w:p>
    <w:p w14:paraId="738DC0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各协办单位按照</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1所中小学校（含中职、中技）免费培训1人</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的标准，组织辖区内中小学</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书记、</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校长、德育副校长等报名参训；各协办单位分管领导及相关科室负责人等，最多可免费</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培</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训5人。</w:t>
      </w:r>
    </w:p>
    <w:p w14:paraId="49CE3F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各</w:t>
      </w: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协</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办单位</w:t>
      </w:r>
      <w:r>
        <w:rPr>
          <w:rFonts w:hint="eastAsia" w:ascii="Times New Roman" w:hAnsi="Times New Roman" w:eastAsia="方正仿宋_GBK" w:cs="Times New Roman"/>
          <w:b w:val="0"/>
          <w:bCs w:val="0"/>
          <w:sz w:val="32"/>
          <w:szCs w:val="32"/>
          <w:lang w:val="en-US" w:eastAsia="zh-CN"/>
        </w:rPr>
        <w:t>填写《第二期中小学教育管理干部心理健康育人能力提升专项培训报名汇总表》（见附件2），填好后将纸质盖章的扫描件和Excel文件发送至863792505@qq.com邮箱，</w:t>
      </w:r>
      <w:r>
        <w:rPr>
          <w:rFonts w:hint="eastAsia" w:ascii="Times New Roman" w:hAnsi="Times New Roman" w:eastAsia="方正仿宋_GBK" w:cs="Times New Roman"/>
          <w:sz w:val="32"/>
          <w:szCs w:val="32"/>
          <w:lang w:val="en-US" w:eastAsia="zh-CN"/>
        </w:rPr>
        <w:t>邮件主题为：协办单位名称+“第二期</w:t>
      </w:r>
      <w:r>
        <w:rPr>
          <w:rFonts w:hint="eastAsia" w:ascii="Times New Roman" w:hAnsi="Times New Roman" w:eastAsia="方正仿宋_GBK" w:cs="Times New Roman"/>
          <w:b w:val="0"/>
          <w:bCs w:val="0"/>
          <w:sz w:val="32"/>
          <w:szCs w:val="32"/>
          <w:lang w:val="en-US" w:eastAsia="zh-CN"/>
        </w:rPr>
        <w:t>教育管理干部培训</w:t>
      </w:r>
      <w:r>
        <w:rPr>
          <w:rFonts w:hint="eastAsia" w:ascii="Times New Roman" w:hAnsi="Times New Roman" w:eastAsia="方正仿宋_GBK" w:cs="Times New Roman"/>
          <w:sz w:val="32"/>
          <w:szCs w:val="32"/>
          <w:lang w:val="en-US" w:eastAsia="zh-CN"/>
        </w:rPr>
        <w:t>”。</w:t>
      </w:r>
    </w:p>
    <w:p w14:paraId="4B22B7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承办单位收到邮件后，为所有学员开通在线学习账号，并将电子版《学员手册》发送给协办单位联系人。协办单位联系人收到后及时分发给学员，并通知学员按照手册指引，凭手机号登录学习平台进行在线学习。</w:t>
      </w:r>
    </w:p>
    <w:p w14:paraId="0EDA8C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color w:val="000000" w:themeColor="text1"/>
          <w:sz w:val="32"/>
          <w:szCs w:val="32"/>
          <w:lang w:val="en-US" w:eastAsia="zh-CN"/>
          <w14:textFill>
            <w14:solidFill>
              <w14:schemeClr w14:val="tx1"/>
            </w14:solidFill>
          </w14:textFill>
        </w:rPr>
        <w:t>七、其他事项</w:t>
      </w:r>
    </w:p>
    <w:p w14:paraId="73EF66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1.承办单位将全程提供学术支持及学习平台技术保障，确保学员顺利开展学习，并定期向协办单位反馈参训学员的学习进度、完成情况及相关数据。</w:t>
      </w:r>
    </w:p>
    <w:p w14:paraId="3EE0A6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2.各协办单位负责提供集中在线结业考试的场地（可容纳参训学员人数的会议室或报告厅），并负责做好参训学员的学习督促工作。建议协办单位对按期完成培训并通过结业考试的学员，予以继续教育学时认定；对未按期完成培训或未通过结业考试的学员，予以通报批评，确保培训质量，避免学习资源浪费。</w:t>
      </w:r>
    </w:p>
    <w:p w14:paraId="2E6AA9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3.本期计划在全省免费培训1000人，额满为止。课程资源、学习平台使用等相关费用，均由承办单位全额承担，不向协办单位及参训学员收取任何费用。</w:t>
      </w:r>
    </w:p>
    <w:p w14:paraId="326D3C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方正仿宋_GB2312" w:cs="Times New Roman"/>
          <w:color w:val="000000" w:themeColor="text1"/>
          <w:sz w:val="32"/>
          <w:szCs w:val="32"/>
          <w:lang w:val="en-US" w:eastAsia="zh-CN"/>
          <w14:textFill>
            <w14:solidFill>
              <w14:schemeClr w14:val="tx1"/>
            </w14:solidFill>
          </w14:textFill>
        </w:rPr>
        <w:t>.活动最终解释权归江苏省少年儿童研究会心理健康专业委员会秘书处所有，联系人：夏正刚，电话：025-83715356，13770777887。</w:t>
      </w:r>
    </w:p>
    <w:p w14:paraId="03DFB7A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i w:val="0"/>
          <w:iCs w:val="0"/>
          <w:caps w:val="0"/>
          <w:color w:val="000000" w:themeColor="text1"/>
          <w:spacing w:val="0"/>
          <w:sz w:val="32"/>
          <w:szCs w:val="32"/>
          <w:shd w:val="clear" w:color="auto" w:fill="FFFFFF"/>
          <w:lang w:val="en-US" w:eastAsia="zh-CN"/>
          <w14:textFill>
            <w14:solidFill>
              <w14:schemeClr w14:val="tx1"/>
            </w14:solidFill>
          </w14:textFill>
        </w:rPr>
      </w:pPr>
    </w:p>
    <w:p w14:paraId="1266612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eastAsia" w:ascii="Times New Roman" w:hAnsi="Times New Roman" w:eastAsia="方正仿宋_GB2312" w:cs="Times New Roman"/>
          <w:i w:val="0"/>
          <w:iCs w:val="0"/>
          <w:caps w:val="0"/>
          <w:color w:val="000000" w:themeColor="text1"/>
          <w:spacing w:val="0"/>
          <w:sz w:val="32"/>
          <w:szCs w:val="32"/>
          <w:shd w:val="clear" w:color="auto" w:fill="FFFFFF"/>
          <w:lang w:val="en-US" w:eastAsia="zh-CN"/>
          <w14:textFill>
            <w14:solidFill>
              <w14:schemeClr w14:val="tx1"/>
            </w14:solidFill>
          </w14:textFill>
        </w:rPr>
      </w:pPr>
      <w:r>
        <w:rPr>
          <w:rFonts w:hint="default" w:ascii="Times New Roman" w:hAnsi="Times New Roman" w:eastAsia="方正仿宋_GB2312" w:cs="Times New Roman"/>
          <w:i w:val="0"/>
          <w:iCs w:val="0"/>
          <w:caps w:val="0"/>
          <w:color w:val="000000" w:themeColor="text1"/>
          <w:spacing w:val="0"/>
          <w:sz w:val="32"/>
          <w:szCs w:val="32"/>
          <w:shd w:val="clear" w:color="auto" w:fill="FFFFFF"/>
          <w:lang w:val="en-US" w:eastAsia="zh-CN"/>
          <w14:textFill>
            <w14:solidFill>
              <w14:schemeClr w14:val="tx1"/>
            </w14:solidFill>
          </w14:textFill>
        </w:rPr>
        <w:t>省少儿研究会心理健康专委会</w:t>
      </w:r>
    </w:p>
    <w:p w14:paraId="4D162B95">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right"/>
        <w:textAlignment w:val="auto"/>
        <w:rPr>
          <w:rFonts w:hint="default" w:ascii="Times New Roman" w:hAnsi="Times New Roman" w:eastAsia="方正仿宋_GB2312" w:cs="Times New Roman"/>
          <w:i w:val="0"/>
          <w:iCs w:val="0"/>
          <w:caps w:val="0"/>
          <w:color w:val="000000" w:themeColor="text1"/>
          <w:spacing w:val="0"/>
          <w:sz w:val="32"/>
          <w:szCs w:val="32"/>
          <w:shd w:val="clear" w:color="auto" w:fill="FFFFFF"/>
          <w:lang w:val="en-US" w:eastAsia="zh-CN"/>
          <w14:textFill>
            <w14:solidFill>
              <w14:schemeClr w14:val="tx1"/>
            </w14:solidFill>
          </w14:textFill>
        </w:rPr>
      </w:pPr>
      <w:r>
        <w:rPr>
          <w:rFonts w:hint="eastAsia" w:ascii="Times New Roman" w:hAnsi="Times New Roman" w:eastAsia="方正仿宋_GB2312" w:cs="Times New Roman"/>
          <w:i w:val="0"/>
          <w:iCs w:val="0"/>
          <w:caps w:val="0"/>
          <w:color w:val="000000" w:themeColor="text1"/>
          <w:spacing w:val="0"/>
          <w:sz w:val="32"/>
          <w:szCs w:val="32"/>
          <w:shd w:val="clear" w:color="auto" w:fill="FFFFFF"/>
          <w:lang w:val="en-US" w:eastAsia="zh-CN"/>
          <w14:textFill>
            <w14:solidFill>
              <w14:schemeClr w14:val="tx1"/>
            </w14:solidFill>
          </w14:textFill>
        </w:rPr>
        <w:t xml:space="preserve">2026年10月       </w:t>
      </w:r>
    </w:p>
    <w:p w14:paraId="47ED300E">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left"/>
        <w:textAlignment w:val="auto"/>
        <w:rPr>
          <w:rFonts w:hint="eastAsia" w:ascii="方正黑体_GBK" w:hAnsi="方正黑体_GBK" w:eastAsia="方正黑体_GBK" w:cs="方正黑体_GBK"/>
          <w:i w:val="0"/>
          <w:iCs w:val="0"/>
          <w:caps w:val="0"/>
          <w:color w:val="000000" w:themeColor="text1"/>
          <w:spacing w:val="0"/>
          <w:sz w:val="32"/>
          <w:szCs w:val="32"/>
          <w:shd w:val="clear" w:color="auto" w:fill="FFFFFF"/>
          <w:lang w:val="en-US" w:eastAsia="zh-CN"/>
          <w14:textFill>
            <w14:solidFill>
              <w14:schemeClr w14:val="tx1"/>
            </w14:solidFill>
          </w14:textFill>
        </w:rPr>
      </w:pPr>
    </w:p>
    <w:p w14:paraId="015CC9D0">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left"/>
        <w:textAlignment w:val="auto"/>
        <w:rPr>
          <w:rFonts w:hint="eastAsia" w:ascii="方正黑体_GBK" w:hAnsi="方正黑体_GBK" w:eastAsia="方正黑体_GBK" w:cs="方正黑体_GBK"/>
          <w:i w:val="0"/>
          <w:iCs w:val="0"/>
          <w:caps w:val="0"/>
          <w:color w:val="000000" w:themeColor="text1"/>
          <w:spacing w:val="0"/>
          <w:sz w:val="32"/>
          <w:szCs w:val="32"/>
          <w:shd w:val="clear" w:color="auto" w:fill="FFFFFF"/>
          <w:lang w:val="en-US" w:eastAsia="zh-CN"/>
          <w14:textFill>
            <w14:solidFill>
              <w14:schemeClr w14:val="tx1"/>
            </w14:solidFill>
          </w14:textFill>
        </w:rPr>
      </w:pPr>
      <w:r>
        <w:rPr>
          <w:rFonts w:hint="eastAsia" w:ascii="方正黑体_GBK" w:hAnsi="方正黑体_GBK" w:eastAsia="方正黑体_GBK" w:cs="方正黑体_GBK"/>
          <w:i w:val="0"/>
          <w:iCs w:val="0"/>
          <w:caps w:val="0"/>
          <w:color w:val="000000" w:themeColor="text1"/>
          <w:spacing w:val="0"/>
          <w:sz w:val="32"/>
          <w:szCs w:val="32"/>
          <w:shd w:val="clear" w:color="auto" w:fill="FFFFFF"/>
          <w:lang w:val="en-US" w:eastAsia="zh-CN"/>
          <w14:textFill>
            <w14:solidFill>
              <w14:schemeClr w14:val="tx1"/>
            </w14:solidFill>
          </w14:textFill>
        </w:rPr>
        <w:t>附件1</w:t>
      </w:r>
    </w:p>
    <w:p w14:paraId="3680C11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方正小标宋_GBK" w:hAnsi="方正小标宋_GBK" w:eastAsia="方正小标宋_GBK" w:cs="方正小标宋_GBK"/>
          <w:i w:val="0"/>
          <w:iCs w:val="0"/>
          <w:caps w:val="0"/>
          <w:color w:val="000000" w:themeColor="text1"/>
          <w:spacing w:val="0"/>
          <w:sz w:val="36"/>
          <w:szCs w:val="36"/>
          <w:shd w:val="clear" w:color="auto" w:fill="FFFFFF"/>
          <w:lang w:val="en-US" w:eastAsia="zh-CN"/>
          <w14:textFill>
            <w14:solidFill>
              <w14:schemeClr w14:val="tx1"/>
            </w14:solidFill>
          </w14:textFill>
        </w:rPr>
      </w:pPr>
    </w:p>
    <w:p w14:paraId="73E4746A">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240" w:lineRule="auto"/>
        <w:jc w:val="center"/>
        <w:textAlignment w:val="auto"/>
        <w:rPr>
          <w:rFonts w:hint="eastAsia" w:ascii="方正小标宋_GBK" w:hAnsi="方正小标宋_GBK" w:eastAsia="方正小标宋_GBK" w:cs="方正小标宋_GBK"/>
          <w:i w:val="0"/>
          <w:iCs w:val="0"/>
          <w:caps w:val="0"/>
          <w:color w:val="000000" w:themeColor="text1"/>
          <w:spacing w:val="0"/>
          <w:sz w:val="36"/>
          <w:szCs w:val="36"/>
          <w:shd w:val="clear" w:color="auto" w:fill="FFFFFF"/>
          <w:lang w:val="en-US" w:eastAsia="zh-CN"/>
          <w14:textFill>
            <w14:solidFill>
              <w14:schemeClr w14:val="tx1"/>
            </w14:solidFill>
          </w14:textFill>
        </w:rPr>
      </w:pPr>
      <w:r>
        <w:rPr>
          <w:rFonts w:hint="eastAsia" w:ascii="方正小标宋_GBK" w:hAnsi="方正小标宋_GBK" w:eastAsia="方正小标宋_GBK" w:cs="方正小标宋_GBK"/>
          <w:i w:val="0"/>
          <w:iCs w:val="0"/>
          <w:caps w:val="0"/>
          <w:color w:val="000000" w:themeColor="text1"/>
          <w:spacing w:val="0"/>
          <w:sz w:val="36"/>
          <w:szCs w:val="36"/>
          <w:shd w:val="clear" w:color="auto" w:fill="FFFFFF"/>
          <w:lang w:val="en-US" w:eastAsia="zh-CN"/>
          <w14:textFill>
            <w14:solidFill>
              <w14:schemeClr w14:val="tx1"/>
            </w14:solidFill>
          </w14:textFill>
        </w:rPr>
        <w:t>课程目录及授课专家介绍</w:t>
      </w:r>
    </w:p>
    <w:tbl>
      <w:tblPr>
        <w:tblStyle w:val="4"/>
        <w:tblW w:w="87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4"/>
        <w:gridCol w:w="1492"/>
        <w:gridCol w:w="2830"/>
        <w:gridCol w:w="465"/>
        <w:gridCol w:w="3481"/>
      </w:tblGrid>
      <w:tr w14:paraId="4D0AC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1"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44AC658F">
            <w:pPr>
              <w:keepNext w:val="0"/>
              <w:keepLines w:val="0"/>
              <w:widowControl/>
              <w:suppressLineNumbers w:val="0"/>
              <w:jc w:val="center"/>
              <w:textAlignment w:val="center"/>
              <w:rPr>
                <w:rFonts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序号</w:t>
            </w:r>
          </w:p>
        </w:tc>
        <w:tc>
          <w:tcPr>
            <w:tcW w:w="1492" w:type="dxa"/>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164F7E2F">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模块</w:t>
            </w:r>
          </w:p>
        </w:tc>
        <w:tc>
          <w:tcPr>
            <w:tcW w:w="2830" w:type="dxa"/>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62485AC0">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主题</w:t>
            </w:r>
          </w:p>
        </w:tc>
        <w:tc>
          <w:tcPr>
            <w:tcW w:w="465" w:type="dxa"/>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667BD700">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课时数</w:t>
            </w:r>
          </w:p>
        </w:tc>
        <w:tc>
          <w:tcPr>
            <w:tcW w:w="3481" w:type="dxa"/>
            <w:tcBorders>
              <w:top w:val="single" w:color="000000" w:sz="4" w:space="0"/>
              <w:left w:val="single" w:color="000000" w:sz="4" w:space="0"/>
              <w:bottom w:val="single" w:color="000000" w:sz="4" w:space="0"/>
              <w:right w:val="single" w:color="000000" w:sz="4" w:space="0"/>
            </w:tcBorders>
            <w:shd w:val="clear" w:color="auto" w:fill="E7E6E6" w:themeFill="background2"/>
            <w:vAlign w:val="center"/>
          </w:tcPr>
          <w:p w14:paraId="6F379310">
            <w:pPr>
              <w:keepNext w:val="0"/>
              <w:keepLines w:val="0"/>
              <w:widowControl/>
              <w:suppressLineNumbers w:val="0"/>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专家简介</w:t>
            </w:r>
          </w:p>
        </w:tc>
      </w:tr>
      <w:tr w14:paraId="67C84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4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259C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心理健康教育政策与发展</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1CF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中小学心理健康教育现状</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0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D7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白晓宇（医学博士，中国科学院心理健康重点实验室心理学博士后）</w:t>
            </w:r>
          </w:p>
        </w:tc>
      </w:tr>
      <w:tr w14:paraId="59968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B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A1F81">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2E9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中小学心理健康教育政策解读</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C18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C4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白晓宇（医学博士，中国科学院心理健康重点实验室心理学博士后）</w:t>
            </w:r>
          </w:p>
        </w:tc>
      </w:tr>
      <w:tr w14:paraId="5C1E2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9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A8017">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81AD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国内外心理健康教育发展形势</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5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47E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白晓宇（医学博士，中国科学院心理健康重点实验室心理学博士后）</w:t>
            </w:r>
          </w:p>
        </w:tc>
      </w:tr>
      <w:tr w14:paraId="44CD2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9A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937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心理健康基础理论</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D82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青少年心理健康基础知识</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D2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4D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r w14:paraId="73309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F2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CF0F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中小学心理健康教育体系建设</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2AB8">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学校心理健康教育体系</w:t>
            </w:r>
          </w:p>
          <w:p w14:paraId="6DD9C53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建设理论</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8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E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r w14:paraId="0A497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4CF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w:t>
            </w: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DE77E">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95C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心理辅导室建设</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D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7C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程锦（心理学博士，北京教育学院</w:t>
            </w:r>
            <w:r>
              <w:rPr>
                <w:rFonts w:hint="eastAsia" w:ascii="宋体" w:hAnsi="宋体" w:cs="宋体"/>
                <w:i w:val="0"/>
                <w:iCs w:val="0"/>
                <w:color w:val="000000"/>
                <w:kern w:val="0"/>
                <w:sz w:val="22"/>
                <w:szCs w:val="22"/>
                <w:u w:val="none"/>
                <w:lang w:val="en-US" w:eastAsia="zh-CN" w:bidi="ar"/>
              </w:rPr>
              <w:t>心理教育系讲师</w:t>
            </w:r>
            <w:r>
              <w:rPr>
                <w:rFonts w:hint="eastAsia" w:ascii="宋体" w:hAnsi="宋体" w:eastAsia="宋体" w:cs="宋体"/>
                <w:i w:val="0"/>
                <w:iCs w:val="0"/>
                <w:color w:val="000000"/>
                <w:kern w:val="0"/>
                <w:sz w:val="22"/>
                <w:szCs w:val="22"/>
                <w:u w:val="none"/>
                <w:lang w:val="en-US" w:eastAsia="zh-CN" w:bidi="ar"/>
              </w:rPr>
              <w:t>）</w:t>
            </w:r>
          </w:p>
        </w:tc>
      </w:tr>
      <w:tr w14:paraId="02CB4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5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28691">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0CA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心理健康教育及活动</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1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6B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程锦（心理学博士，北京教育学院</w:t>
            </w:r>
            <w:r>
              <w:rPr>
                <w:rFonts w:hint="eastAsia" w:ascii="宋体" w:hAnsi="宋体" w:cs="宋体"/>
                <w:i w:val="0"/>
                <w:iCs w:val="0"/>
                <w:color w:val="000000"/>
                <w:kern w:val="0"/>
                <w:sz w:val="22"/>
                <w:szCs w:val="22"/>
                <w:u w:val="none"/>
                <w:lang w:val="en-US" w:eastAsia="zh-CN" w:bidi="ar"/>
              </w:rPr>
              <w:t>心理教育系讲师</w:t>
            </w:r>
            <w:r>
              <w:rPr>
                <w:rFonts w:hint="eastAsia" w:ascii="宋体" w:hAnsi="宋体" w:eastAsia="宋体" w:cs="宋体"/>
                <w:i w:val="0"/>
                <w:iCs w:val="0"/>
                <w:color w:val="000000"/>
                <w:kern w:val="0"/>
                <w:sz w:val="22"/>
                <w:szCs w:val="22"/>
                <w:u w:val="none"/>
                <w:lang w:val="en-US" w:eastAsia="zh-CN" w:bidi="ar"/>
              </w:rPr>
              <w:t>）</w:t>
            </w:r>
          </w:p>
        </w:tc>
      </w:tr>
      <w:tr w14:paraId="7D428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2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87DB3">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FF2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心理辅导与心理咨询</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2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53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r w14:paraId="01DAA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B9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519C">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1D1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心理测评与危机干预</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8D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37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r w14:paraId="064B5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6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55B5F">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000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家校共育</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17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D8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r w14:paraId="0764F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2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498EF">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CF04">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学校心理健康工作常见</w:t>
            </w:r>
          </w:p>
          <w:p w14:paraId="4B584D5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问题及应对策略</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7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153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r w14:paraId="67F32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1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33CF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中小学生心理生理特征及身心发展规律</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C5C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心理特征</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8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79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r w14:paraId="6EC42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F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00912">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C1C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生理特征</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C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44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r w14:paraId="4A440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F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8FE4B">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547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各年龄段身心发展规律</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A0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E8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王辉（心理学在职博士，人社部《家庭教育指导》教材主编）</w:t>
            </w:r>
          </w:p>
        </w:tc>
      </w:tr>
      <w:tr w14:paraId="72BBE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7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92" w:type="dxa"/>
            <w:vMerge w:val="restart"/>
            <w:tcBorders>
              <w:top w:val="single" w:color="000000" w:sz="4" w:space="0"/>
              <w:left w:val="single" w:color="000000" w:sz="4" w:space="0"/>
              <w:right w:val="single" w:color="000000" w:sz="4" w:space="0"/>
            </w:tcBorders>
            <w:shd w:val="clear" w:color="auto" w:fill="auto"/>
            <w:vAlign w:val="center"/>
          </w:tcPr>
          <w:p w14:paraId="1E34DEE2">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p>
          <w:p w14:paraId="719EC522">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p>
          <w:p w14:paraId="7F31DD54">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p>
          <w:p w14:paraId="18E557C1">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p>
          <w:p w14:paraId="3299C46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中小学生常见心理问题的识别与应对</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531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自我类问题的识别与应对</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0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2E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曹静（心理学博士，北京大学心理与认知科学学院原科研助理）</w:t>
            </w:r>
          </w:p>
        </w:tc>
      </w:tr>
      <w:tr w14:paraId="58CB7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4E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492" w:type="dxa"/>
            <w:vMerge w:val="continue"/>
            <w:tcBorders>
              <w:left w:val="single" w:color="000000" w:sz="4" w:space="0"/>
              <w:right w:val="single" w:color="000000" w:sz="4" w:space="0"/>
            </w:tcBorders>
            <w:shd w:val="clear" w:color="auto" w:fill="auto"/>
            <w:vAlign w:val="center"/>
          </w:tcPr>
          <w:p w14:paraId="164094A9">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323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学习类问题的识别与应对</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34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B9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张泽宇（哲学博士，北京教育学院</w:t>
            </w:r>
            <w:r>
              <w:rPr>
                <w:rFonts w:hint="eastAsia" w:ascii="宋体" w:hAnsi="宋体" w:cs="宋体"/>
                <w:i w:val="0"/>
                <w:iCs w:val="0"/>
                <w:color w:val="000000"/>
                <w:kern w:val="0"/>
                <w:sz w:val="22"/>
                <w:szCs w:val="22"/>
                <w:u w:val="none"/>
                <w:lang w:val="en-US" w:eastAsia="zh-CN" w:bidi="ar"/>
              </w:rPr>
              <w:t>心理教育系讲师</w:t>
            </w:r>
            <w:r>
              <w:rPr>
                <w:rFonts w:hint="eastAsia" w:ascii="宋体" w:hAnsi="宋体" w:eastAsia="宋体" w:cs="宋体"/>
                <w:i w:val="0"/>
                <w:iCs w:val="0"/>
                <w:color w:val="000000"/>
                <w:kern w:val="0"/>
                <w:sz w:val="22"/>
                <w:szCs w:val="22"/>
                <w:u w:val="none"/>
                <w:lang w:val="en-US" w:eastAsia="zh-CN" w:bidi="ar"/>
              </w:rPr>
              <w:t>）</w:t>
            </w:r>
          </w:p>
        </w:tc>
      </w:tr>
      <w:tr w14:paraId="5C479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40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492" w:type="dxa"/>
            <w:vMerge w:val="continue"/>
            <w:tcBorders>
              <w:left w:val="single" w:color="000000" w:sz="4" w:space="0"/>
              <w:right w:val="single" w:color="000000" w:sz="4" w:space="0"/>
            </w:tcBorders>
            <w:shd w:val="clear" w:color="auto" w:fill="auto"/>
            <w:vAlign w:val="center"/>
          </w:tcPr>
          <w:p w14:paraId="1F53EEEE">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36EB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情绪类问题的识别与应对</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3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7D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r w14:paraId="5ACCE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785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92" w:type="dxa"/>
            <w:vMerge w:val="continue"/>
            <w:tcBorders>
              <w:left w:val="single" w:color="000000" w:sz="4" w:space="0"/>
              <w:right w:val="single" w:color="000000" w:sz="4" w:space="0"/>
            </w:tcBorders>
            <w:shd w:val="clear" w:color="auto" w:fill="auto"/>
            <w:vAlign w:val="center"/>
          </w:tcPr>
          <w:p w14:paraId="6F2A5385">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107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行为类问题的识别与应对</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A8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30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陆丽萍（心理学博士，中国人民大学附属中学心理高级教师）</w:t>
            </w:r>
          </w:p>
        </w:tc>
      </w:tr>
      <w:tr w14:paraId="30B57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48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492" w:type="dxa"/>
            <w:vMerge w:val="continue"/>
            <w:tcBorders>
              <w:left w:val="single" w:color="000000" w:sz="4" w:space="0"/>
              <w:right w:val="single" w:color="000000" w:sz="4" w:space="0"/>
            </w:tcBorders>
            <w:shd w:val="clear" w:color="auto" w:fill="auto"/>
            <w:vAlign w:val="center"/>
          </w:tcPr>
          <w:p w14:paraId="5B46A619">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89A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人际类问题的识别与应对</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0C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F35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陈娜（心理学博士，北京大学教育学院青少年发展项目执行主任）</w:t>
            </w:r>
          </w:p>
        </w:tc>
      </w:tr>
      <w:tr w14:paraId="5CBB8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jc w:val="center"/>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F08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w:t>
            </w:r>
          </w:p>
        </w:tc>
        <w:tc>
          <w:tcPr>
            <w:tcW w:w="1492" w:type="dxa"/>
            <w:vMerge w:val="continue"/>
            <w:tcBorders>
              <w:left w:val="single" w:color="000000" w:sz="4" w:space="0"/>
              <w:bottom w:val="single" w:color="000000" w:sz="4" w:space="0"/>
              <w:right w:val="single" w:color="000000" w:sz="4" w:space="0"/>
            </w:tcBorders>
            <w:shd w:val="clear" w:color="auto" w:fill="auto"/>
            <w:vAlign w:val="center"/>
          </w:tcPr>
          <w:p w14:paraId="3D199A40">
            <w:pPr>
              <w:jc w:val="center"/>
              <w:rPr>
                <w:rFonts w:hint="eastAsia" w:ascii="黑体" w:hAnsi="宋体" w:eastAsia="黑体" w:cs="黑体"/>
                <w:i w:val="0"/>
                <w:iCs w:val="0"/>
                <w:color w:val="000000"/>
                <w:sz w:val="24"/>
                <w:szCs w:val="24"/>
                <w:u w:val="none"/>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A002">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default" w:ascii="宋体" w:hAnsi="宋体" w:eastAsia="宋体" w:cs="宋体"/>
                <w:b/>
                <w:bCs/>
                <w:i w:val="0"/>
                <w:iCs w:val="0"/>
                <w:color w:val="000000"/>
                <w:kern w:val="0"/>
                <w:sz w:val="22"/>
                <w:szCs w:val="22"/>
                <w:u w:val="none"/>
                <w:lang w:val="en-US" w:eastAsia="zh-CN" w:bidi="ar"/>
              </w:rPr>
              <w:t>危机类问题的识别与应对</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897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8AF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武金红（北京市密云区教师研修学院心理研修员，心理高级教师）</w:t>
            </w:r>
          </w:p>
        </w:tc>
      </w:tr>
      <w:tr w14:paraId="3E6C9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84" w:type="dxa"/>
            <w:tcBorders>
              <w:top w:val="single" w:color="000000" w:sz="4" w:space="0"/>
              <w:left w:val="single" w:color="000000" w:sz="4" w:space="0"/>
              <w:right w:val="single" w:color="000000" w:sz="4" w:space="0"/>
            </w:tcBorders>
            <w:shd w:val="clear" w:color="auto" w:fill="auto"/>
            <w:vAlign w:val="center"/>
          </w:tcPr>
          <w:p w14:paraId="201C47E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1</w:t>
            </w:r>
          </w:p>
        </w:tc>
        <w:tc>
          <w:tcPr>
            <w:tcW w:w="1492" w:type="dxa"/>
            <w:vMerge w:val="restart"/>
            <w:tcBorders>
              <w:top w:val="single" w:color="000000" w:sz="4" w:space="0"/>
              <w:left w:val="single" w:color="000000" w:sz="4" w:space="0"/>
              <w:right w:val="single" w:color="000000" w:sz="4" w:space="0"/>
            </w:tcBorders>
            <w:shd w:val="clear" w:color="auto" w:fill="auto"/>
            <w:vAlign w:val="center"/>
          </w:tcPr>
          <w:p w14:paraId="24EACCD0">
            <w:pPr>
              <w:jc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中小学心理健康跨学科融合教育</w:t>
            </w: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447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心理健康跨学科融合教育理论</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3E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30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r w14:paraId="1D8F9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484" w:type="dxa"/>
            <w:tcBorders>
              <w:left w:val="single" w:color="000000" w:sz="4" w:space="0"/>
              <w:bottom w:val="single" w:color="000000" w:sz="4" w:space="0"/>
              <w:right w:val="single" w:color="000000" w:sz="4" w:space="0"/>
            </w:tcBorders>
            <w:shd w:val="clear" w:color="auto" w:fill="auto"/>
            <w:vAlign w:val="center"/>
          </w:tcPr>
          <w:p w14:paraId="050257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492" w:type="dxa"/>
            <w:vMerge w:val="continue"/>
            <w:tcBorders>
              <w:left w:val="single" w:color="000000" w:sz="4" w:space="0"/>
              <w:bottom w:val="single" w:color="000000" w:sz="4" w:space="0"/>
              <w:right w:val="single" w:color="000000" w:sz="4" w:space="0"/>
            </w:tcBorders>
            <w:shd w:val="clear" w:color="auto" w:fill="auto"/>
            <w:vAlign w:val="center"/>
          </w:tcPr>
          <w:p w14:paraId="117A62A7">
            <w:pPr>
              <w:jc w:val="center"/>
              <w:rPr>
                <w:rFonts w:hint="eastAsia" w:ascii="黑体" w:hAnsi="宋体" w:eastAsia="黑体" w:cs="黑体"/>
                <w:i w:val="0"/>
                <w:iCs w:val="0"/>
                <w:color w:val="000000"/>
                <w:kern w:val="0"/>
                <w:sz w:val="24"/>
                <w:szCs w:val="24"/>
                <w:u w:val="none"/>
                <w:lang w:val="en-US" w:eastAsia="zh-CN" w:bidi="ar"/>
              </w:rPr>
            </w:pPr>
          </w:p>
        </w:tc>
        <w:tc>
          <w:tcPr>
            <w:tcW w:w="2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B005">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各学段融合教育方案设计</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06F3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3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241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林雅芳（心理学博士，北京教育学院</w:t>
            </w:r>
            <w:r>
              <w:rPr>
                <w:rFonts w:hint="eastAsia" w:ascii="宋体" w:hAnsi="宋体" w:cs="宋体"/>
                <w:i w:val="0"/>
                <w:iCs w:val="0"/>
                <w:color w:val="000000"/>
                <w:kern w:val="0"/>
                <w:sz w:val="22"/>
                <w:szCs w:val="22"/>
                <w:u w:val="none"/>
                <w:lang w:val="en-US" w:eastAsia="zh-CN" w:bidi="ar"/>
              </w:rPr>
              <w:t>心理教育系</w:t>
            </w:r>
            <w:r>
              <w:rPr>
                <w:rFonts w:hint="eastAsia" w:ascii="宋体" w:hAnsi="宋体" w:eastAsia="宋体" w:cs="宋体"/>
                <w:i w:val="0"/>
                <w:iCs w:val="0"/>
                <w:color w:val="000000"/>
                <w:kern w:val="0"/>
                <w:sz w:val="22"/>
                <w:szCs w:val="22"/>
                <w:u w:val="none"/>
                <w:lang w:val="en-US" w:eastAsia="zh-CN" w:bidi="ar"/>
              </w:rPr>
              <w:t>副教授）</w:t>
            </w:r>
          </w:p>
        </w:tc>
      </w:tr>
    </w:tbl>
    <w:p w14:paraId="4C1469E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方正仿宋_GB2312" w:cs="Times New Roman"/>
          <w:i w:val="0"/>
          <w:iCs w:val="0"/>
          <w:caps w:val="0"/>
          <w:color w:val="000000" w:themeColor="text1"/>
          <w:spacing w:val="0"/>
          <w:sz w:val="28"/>
          <w:szCs w:val="28"/>
          <w:shd w:val="clear" w:color="auto" w:fill="FFFFFF"/>
          <w:lang w:val="en-US" w:eastAsia="zh-CN"/>
          <w14:textFill>
            <w14:solidFill>
              <w14:schemeClr w14:val="tx1"/>
            </w14:solidFill>
          </w14:textFill>
        </w:rPr>
      </w:pPr>
    </w:p>
    <w:p w14:paraId="5FA1C20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方正仿宋_GB2312" w:cs="Times New Roman"/>
          <w:i w:val="0"/>
          <w:iCs w:val="0"/>
          <w:caps w:val="0"/>
          <w:color w:val="000000" w:themeColor="text1"/>
          <w:spacing w:val="0"/>
          <w:sz w:val="28"/>
          <w:szCs w:val="28"/>
          <w:shd w:val="clear" w:color="auto" w:fill="FFFFFF"/>
          <w:lang w:val="en-US" w:eastAsia="zh-CN"/>
          <w14:textFill>
            <w14:solidFill>
              <w14:schemeClr w14:val="tx1"/>
            </w14:solidFill>
          </w14:textFill>
        </w:rPr>
      </w:pPr>
    </w:p>
    <w:p w14:paraId="2DAB865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附件2</w:t>
      </w:r>
    </w:p>
    <w:p w14:paraId="2E14F0B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方正黑体_GBK" w:hAnsi="方正黑体_GBK" w:eastAsia="方正黑体_GBK" w:cs="方正黑体_GBK"/>
          <w:sz w:val="32"/>
          <w:szCs w:val="32"/>
          <w:lang w:val="en-US" w:eastAsia="zh-CN"/>
        </w:rPr>
      </w:pPr>
    </w:p>
    <w:p w14:paraId="5480427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b w:val="0"/>
          <w:bCs w:val="0"/>
          <w:sz w:val="36"/>
          <w:szCs w:val="36"/>
          <w:lang w:val="en-US" w:eastAsia="zh-CN"/>
        </w:rPr>
      </w:pPr>
      <w:r>
        <w:rPr>
          <w:rFonts w:hint="eastAsia" w:ascii="方正小标宋_GBK" w:hAnsi="方正小标宋_GBK" w:eastAsia="方正小标宋_GBK" w:cs="方正小标宋_GBK"/>
          <w:b w:val="0"/>
          <w:bCs w:val="0"/>
          <w:sz w:val="36"/>
          <w:szCs w:val="36"/>
          <w:lang w:val="en-US" w:eastAsia="zh-CN"/>
        </w:rPr>
        <w:t>第二期</w:t>
      </w:r>
      <w:bookmarkStart w:id="0" w:name="_GoBack"/>
      <w:bookmarkEnd w:id="0"/>
      <w:r>
        <w:rPr>
          <w:rFonts w:hint="eastAsia" w:ascii="方正小标宋_GBK" w:hAnsi="方正小标宋_GBK" w:eastAsia="方正小标宋_GBK" w:cs="方正小标宋_GBK"/>
          <w:b w:val="0"/>
          <w:bCs w:val="0"/>
          <w:sz w:val="36"/>
          <w:szCs w:val="36"/>
          <w:lang w:val="en-US" w:eastAsia="zh-CN"/>
        </w:rPr>
        <w:t>中小学教育管理干部</w:t>
      </w:r>
    </w:p>
    <w:p w14:paraId="737A62B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b w:val="0"/>
          <w:bCs w:val="0"/>
          <w:sz w:val="36"/>
          <w:szCs w:val="36"/>
          <w:lang w:val="en-US" w:eastAsia="zh-CN"/>
        </w:rPr>
      </w:pPr>
      <w:r>
        <w:rPr>
          <w:rFonts w:hint="eastAsia" w:ascii="方正小标宋_GBK" w:hAnsi="方正小标宋_GBK" w:eastAsia="方正小标宋_GBK" w:cs="方正小标宋_GBK"/>
          <w:b w:val="0"/>
          <w:bCs w:val="0"/>
          <w:sz w:val="36"/>
          <w:szCs w:val="36"/>
          <w:lang w:val="en-US" w:eastAsia="zh-CN"/>
        </w:rPr>
        <w:t>心理健康育人能力提升专项培训报名汇总表</w:t>
      </w:r>
    </w:p>
    <w:p w14:paraId="0DF233C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b w:val="0"/>
          <w:bCs w:val="0"/>
          <w:sz w:val="30"/>
          <w:szCs w:val="30"/>
          <w:lang w:val="en-US" w:eastAsia="zh-CN"/>
        </w:rPr>
      </w:pPr>
    </w:p>
    <w:p w14:paraId="6400345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方正仿宋_GBK" w:hAnsi="方正仿宋_GBK" w:eastAsia="方正仿宋_GBK" w:cs="方正仿宋_GBK"/>
          <w:b w:val="0"/>
          <w:bCs w:val="0"/>
          <w:sz w:val="30"/>
          <w:szCs w:val="30"/>
          <w:u w:val="single"/>
          <w:lang w:val="en-US" w:eastAsia="zh-CN"/>
        </w:rPr>
      </w:pPr>
      <w:r>
        <w:rPr>
          <w:rFonts w:hint="eastAsia" w:ascii="方正仿宋_GBK" w:hAnsi="方正仿宋_GBK" w:eastAsia="方正仿宋_GBK" w:cs="方正仿宋_GBK"/>
          <w:b w:val="0"/>
          <w:bCs w:val="0"/>
          <w:sz w:val="30"/>
          <w:szCs w:val="30"/>
          <w:lang w:val="en-US" w:eastAsia="zh-CN"/>
        </w:rPr>
        <w:t>协办单位：（盖章）</w:t>
      </w:r>
      <w:r>
        <w:rPr>
          <w:rFonts w:hint="eastAsia" w:ascii="方正仿宋_GBK" w:hAnsi="方正仿宋_GBK" w:eastAsia="方正仿宋_GBK" w:cs="方正仿宋_GBK"/>
          <w:b w:val="0"/>
          <w:bCs w:val="0"/>
          <w:sz w:val="30"/>
          <w:szCs w:val="30"/>
          <w:u w:val="single"/>
          <w:lang w:val="en-US" w:eastAsia="zh-CN"/>
        </w:rPr>
        <w:t xml:space="preserve">                                      </w:t>
      </w:r>
    </w:p>
    <w:p w14:paraId="3187A57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方正仿宋_GBK" w:hAnsi="方正仿宋_GBK" w:eastAsia="方正仿宋_GBK" w:cs="方正仿宋_GBK"/>
          <w:b w:val="0"/>
          <w:bCs w:val="0"/>
          <w:sz w:val="30"/>
          <w:szCs w:val="30"/>
          <w:lang w:val="en-US" w:eastAsia="zh-CN"/>
        </w:rPr>
      </w:pPr>
      <w:r>
        <w:rPr>
          <w:rFonts w:hint="eastAsia" w:ascii="方正仿宋_GBK" w:hAnsi="方正仿宋_GBK" w:eastAsia="方正仿宋_GBK" w:cs="方正仿宋_GBK"/>
          <w:b w:val="0"/>
          <w:bCs w:val="0"/>
          <w:sz w:val="30"/>
          <w:szCs w:val="30"/>
          <w:lang w:val="en-US" w:eastAsia="zh-CN"/>
        </w:rPr>
        <w:t>联系人：</w:t>
      </w:r>
      <w:r>
        <w:rPr>
          <w:rFonts w:hint="eastAsia" w:ascii="方正仿宋_GBK" w:hAnsi="方正仿宋_GBK" w:eastAsia="方正仿宋_GBK" w:cs="方正仿宋_GBK"/>
          <w:b w:val="0"/>
          <w:bCs w:val="0"/>
          <w:sz w:val="30"/>
          <w:szCs w:val="30"/>
          <w:u w:val="single"/>
          <w:lang w:val="en-US" w:eastAsia="zh-CN"/>
        </w:rPr>
        <w:t xml:space="preserve">          </w:t>
      </w:r>
      <w:r>
        <w:rPr>
          <w:rFonts w:hint="eastAsia" w:ascii="方正仿宋_GBK" w:hAnsi="方正仿宋_GBK" w:eastAsia="方正仿宋_GBK" w:cs="方正仿宋_GBK"/>
          <w:b w:val="0"/>
          <w:bCs w:val="0"/>
          <w:sz w:val="30"/>
          <w:szCs w:val="30"/>
          <w:lang w:val="en-US" w:eastAsia="zh-CN"/>
        </w:rPr>
        <w:t>电话：</w:t>
      </w:r>
      <w:r>
        <w:rPr>
          <w:rFonts w:hint="eastAsia" w:ascii="方正仿宋_GBK" w:hAnsi="方正仿宋_GBK" w:eastAsia="方正仿宋_GBK" w:cs="方正仿宋_GBK"/>
          <w:b w:val="0"/>
          <w:bCs w:val="0"/>
          <w:sz w:val="30"/>
          <w:szCs w:val="30"/>
          <w:u w:val="single"/>
          <w:lang w:val="en-US" w:eastAsia="zh-CN"/>
        </w:rPr>
        <w:t xml:space="preserve">            </w:t>
      </w:r>
      <w:r>
        <w:rPr>
          <w:rFonts w:hint="eastAsia" w:ascii="方正仿宋_GBK" w:hAnsi="方正仿宋_GBK" w:eastAsia="方正仿宋_GBK" w:cs="方正仿宋_GBK"/>
          <w:b w:val="0"/>
          <w:bCs w:val="0"/>
          <w:sz w:val="30"/>
          <w:szCs w:val="30"/>
          <w:u w:val="none"/>
          <w:lang w:val="en-US" w:eastAsia="zh-CN"/>
        </w:rPr>
        <w:t>参训总人数</w:t>
      </w:r>
      <w:r>
        <w:rPr>
          <w:rFonts w:hint="eastAsia" w:ascii="方正仿宋_GBK" w:hAnsi="方正仿宋_GBK" w:eastAsia="方正仿宋_GBK" w:cs="方正仿宋_GBK"/>
          <w:b w:val="0"/>
          <w:bCs w:val="0"/>
          <w:sz w:val="30"/>
          <w:szCs w:val="30"/>
          <w:lang w:val="en-US" w:eastAsia="zh-CN"/>
        </w:rPr>
        <w:t>：</w:t>
      </w:r>
      <w:r>
        <w:rPr>
          <w:rFonts w:hint="eastAsia" w:ascii="方正仿宋_GBK" w:hAnsi="方正仿宋_GBK" w:eastAsia="方正仿宋_GBK" w:cs="方正仿宋_GBK"/>
          <w:b w:val="0"/>
          <w:bCs w:val="0"/>
          <w:sz w:val="30"/>
          <w:szCs w:val="30"/>
          <w:u w:val="single"/>
          <w:lang w:val="en-US" w:eastAsia="zh-CN"/>
        </w:rPr>
        <w:t xml:space="preserve">        </w:t>
      </w:r>
    </w:p>
    <w:tbl>
      <w:tblPr>
        <w:tblStyle w:val="5"/>
        <w:tblW w:w="8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309"/>
        <w:gridCol w:w="3525"/>
        <w:gridCol w:w="1170"/>
        <w:gridCol w:w="1796"/>
      </w:tblGrid>
      <w:tr w14:paraId="18BB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24" w:type="dxa"/>
            <w:vAlign w:val="top"/>
          </w:tcPr>
          <w:p w14:paraId="36FD348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序号</w:t>
            </w:r>
          </w:p>
        </w:tc>
        <w:tc>
          <w:tcPr>
            <w:tcW w:w="1309" w:type="dxa"/>
            <w:vAlign w:val="top"/>
          </w:tcPr>
          <w:p w14:paraId="375AED3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姓名</w:t>
            </w:r>
          </w:p>
        </w:tc>
        <w:tc>
          <w:tcPr>
            <w:tcW w:w="3525" w:type="dxa"/>
            <w:vAlign w:val="top"/>
          </w:tcPr>
          <w:p w14:paraId="22585E9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工作单位</w:t>
            </w:r>
          </w:p>
        </w:tc>
        <w:tc>
          <w:tcPr>
            <w:tcW w:w="1170" w:type="dxa"/>
            <w:vAlign w:val="top"/>
          </w:tcPr>
          <w:p w14:paraId="0314660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职务</w:t>
            </w:r>
          </w:p>
        </w:tc>
        <w:tc>
          <w:tcPr>
            <w:tcW w:w="1796" w:type="dxa"/>
            <w:vAlign w:val="top"/>
          </w:tcPr>
          <w:p w14:paraId="7DD16DF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方正黑体_GBK" w:hAnsi="方正黑体_GBK" w:eastAsia="方正黑体_GBK" w:cs="方正黑体_GBK"/>
                <w:b w:val="0"/>
                <w:bCs w:val="0"/>
                <w:sz w:val="24"/>
                <w:szCs w:val="24"/>
                <w:vertAlign w:val="baseline"/>
                <w:lang w:val="en-US" w:eastAsia="zh-CN"/>
              </w:rPr>
            </w:pPr>
            <w:r>
              <w:rPr>
                <w:rFonts w:hint="eastAsia" w:ascii="方正黑体_GBK" w:hAnsi="方正黑体_GBK" w:eastAsia="方正黑体_GBK" w:cs="方正黑体_GBK"/>
                <w:b w:val="0"/>
                <w:bCs w:val="0"/>
                <w:sz w:val="24"/>
                <w:szCs w:val="24"/>
                <w:vertAlign w:val="baseline"/>
                <w:lang w:val="en-US" w:eastAsia="zh-CN"/>
              </w:rPr>
              <w:t>手机号</w:t>
            </w:r>
          </w:p>
        </w:tc>
      </w:tr>
      <w:tr w14:paraId="05D6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24" w:type="dxa"/>
            <w:vAlign w:val="top"/>
          </w:tcPr>
          <w:p w14:paraId="1EE6D22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val="0"/>
                <w:bCs w:val="0"/>
                <w:sz w:val="28"/>
                <w:szCs w:val="28"/>
                <w:vertAlign w:val="baseline"/>
                <w:lang w:val="en-US" w:eastAsia="zh-CN"/>
              </w:rPr>
            </w:pPr>
          </w:p>
        </w:tc>
        <w:tc>
          <w:tcPr>
            <w:tcW w:w="1309" w:type="dxa"/>
            <w:vAlign w:val="top"/>
          </w:tcPr>
          <w:p w14:paraId="0E29032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3525" w:type="dxa"/>
            <w:vAlign w:val="top"/>
          </w:tcPr>
          <w:p w14:paraId="16FC06E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170" w:type="dxa"/>
            <w:vAlign w:val="top"/>
          </w:tcPr>
          <w:p w14:paraId="67BA7F2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796" w:type="dxa"/>
            <w:vAlign w:val="top"/>
          </w:tcPr>
          <w:p w14:paraId="121FF46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r>
      <w:tr w14:paraId="4D10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24" w:type="dxa"/>
            <w:vAlign w:val="top"/>
          </w:tcPr>
          <w:p w14:paraId="0C07E65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val="0"/>
                <w:bCs w:val="0"/>
                <w:sz w:val="28"/>
                <w:szCs w:val="28"/>
                <w:vertAlign w:val="baseline"/>
                <w:lang w:val="en-US" w:eastAsia="zh-CN"/>
              </w:rPr>
            </w:pPr>
          </w:p>
        </w:tc>
        <w:tc>
          <w:tcPr>
            <w:tcW w:w="1309" w:type="dxa"/>
            <w:vAlign w:val="top"/>
          </w:tcPr>
          <w:p w14:paraId="240B037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3525" w:type="dxa"/>
            <w:vAlign w:val="top"/>
          </w:tcPr>
          <w:p w14:paraId="2CBE88E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170" w:type="dxa"/>
            <w:vAlign w:val="top"/>
          </w:tcPr>
          <w:p w14:paraId="15C6F56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796" w:type="dxa"/>
            <w:vAlign w:val="top"/>
          </w:tcPr>
          <w:p w14:paraId="0A7710E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r>
      <w:tr w14:paraId="0602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24" w:type="dxa"/>
            <w:vAlign w:val="top"/>
          </w:tcPr>
          <w:p w14:paraId="01A01EF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val="0"/>
                <w:bCs w:val="0"/>
                <w:sz w:val="28"/>
                <w:szCs w:val="28"/>
                <w:vertAlign w:val="baseline"/>
                <w:lang w:val="en-US" w:eastAsia="zh-CN"/>
              </w:rPr>
            </w:pPr>
          </w:p>
        </w:tc>
        <w:tc>
          <w:tcPr>
            <w:tcW w:w="1309" w:type="dxa"/>
            <w:vAlign w:val="top"/>
          </w:tcPr>
          <w:p w14:paraId="5BCF903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3525" w:type="dxa"/>
            <w:vAlign w:val="top"/>
          </w:tcPr>
          <w:p w14:paraId="1498CD0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170" w:type="dxa"/>
            <w:vAlign w:val="top"/>
          </w:tcPr>
          <w:p w14:paraId="54DB7A6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796" w:type="dxa"/>
            <w:vAlign w:val="top"/>
          </w:tcPr>
          <w:p w14:paraId="09D0FF3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r>
      <w:tr w14:paraId="3430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24" w:type="dxa"/>
            <w:vAlign w:val="top"/>
          </w:tcPr>
          <w:p w14:paraId="5C4FD5B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val="0"/>
                <w:bCs w:val="0"/>
                <w:sz w:val="28"/>
                <w:szCs w:val="28"/>
                <w:vertAlign w:val="baseline"/>
                <w:lang w:val="en-US" w:eastAsia="zh-CN"/>
              </w:rPr>
            </w:pPr>
          </w:p>
        </w:tc>
        <w:tc>
          <w:tcPr>
            <w:tcW w:w="1309" w:type="dxa"/>
            <w:vAlign w:val="top"/>
          </w:tcPr>
          <w:p w14:paraId="6C39C7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3525" w:type="dxa"/>
            <w:vAlign w:val="top"/>
          </w:tcPr>
          <w:p w14:paraId="2434C59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170" w:type="dxa"/>
            <w:vAlign w:val="top"/>
          </w:tcPr>
          <w:p w14:paraId="4482541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796" w:type="dxa"/>
            <w:vAlign w:val="top"/>
          </w:tcPr>
          <w:p w14:paraId="5C21CDE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r>
      <w:tr w14:paraId="7667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24" w:type="dxa"/>
            <w:vAlign w:val="top"/>
          </w:tcPr>
          <w:p w14:paraId="789E293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val="0"/>
                <w:bCs w:val="0"/>
                <w:sz w:val="28"/>
                <w:szCs w:val="28"/>
                <w:vertAlign w:val="baseline"/>
                <w:lang w:val="en-US" w:eastAsia="zh-CN"/>
              </w:rPr>
            </w:pPr>
          </w:p>
        </w:tc>
        <w:tc>
          <w:tcPr>
            <w:tcW w:w="1309" w:type="dxa"/>
            <w:vAlign w:val="top"/>
          </w:tcPr>
          <w:p w14:paraId="2249B8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3525" w:type="dxa"/>
            <w:vAlign w:val="top"/>
          </w:tcPr>
          <w:p w14:paraId="4B6172B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170" w:type="dxa"/>
            <w:vAlign w:val="top"/>
          </w:tcPr>
          <w:p w14:paraId="17889EA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796" w:type="dxa"/>
            <w:vAlign w:val="top"/>
          </w:tcPr>
          <w:p w14:paraId="456BD38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r>
      <w:tr w14:paraId="3D7F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24" w:type="dxa"/>
            <w:vAlign w:val="top"/>
          </w:tcPr>
          <w:p w14:paraId="40E8723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方正仿宋_GBK" w:cs="Times New Roman"/>
                <w:b w:val="0"/>
                <w:bCs w:val="0"/>
                <w:sz w:val="28"/>
                <w:szCs w:val="28"/>
                <w:vertAlign w:val="baseline"/>
                <w:lang w:val="en-US" w:eastAsia="zh-CN"/>
              </w:rPr>
            </w:pPr>
          </w:p>
        </w:tc>
        <w:tc>
          <w:tcPr>
            <w:tcW w:w="1309" w:type="dxa"/>
            <w:vAlign w:val="top"/>
          </w:tcPr>
          <w:p w14:paraId="5F04031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3525" w:type="dxa"/>
            <w:vAlign w:val="top"/>
          </w:tcPr>
          <w:p w14:paraId="044CA3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170" w:type="dxa"/>
            <w:vAlign w:val="top"/>
          </w:tcPr>
          <w:p w14:paraId="13AF4E5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c>
          <w:tcPr>
            <w:tcW w:w="1796" w:type="dxa"/>
            <w:vAlign w:val="top"/>
          </w:tcPr>
          <w:p w14:paraId="3B48F26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方正仿宋_GBK" w:hAnsi="方正仿宋_GBK" w:eastAsia="方正仿宋_GBK" w:cs="方正仿宋_GBK"/>
                <w:b w:val="0"/>
                <w:bCs w:val="0"/>
                <w:sz w:val="24"/>
                <w:szCs w:val="24"/>
                <w:vertAlign w:val="baseline"/>
                <w:lang w:val="en-US" w:eastAsia="zh-CN"/>
              </w:rPr>
            </w:pPr>
          </w:p>
        </w:tc>
      </w:tr>
    </w:tbl>
    <w:p w14:paraId="60E72D1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default" w:ascii="Times New Roman" w:hAnsi="Times New Roman" w:eastAsia="方正仿宋_GB2312" w:cs="Times New Roman"/>
          <w:i w:val="0"/>
          <w:iCs w:val="0"/>
          <w:caps w:val="0"/>
          <w:color w:val="000000" w:themeColor="text1"/>
          <w:spacing w:val="0"/>
          <w:sz w:val="28"/>
          <w:szCs w:val="28"/>
          <w:shd w:val="clear" w:color="auto" w:fill="FFFFFF"/>
          <w:lang w:val="en-US" w:eastAsia="zh-CN"/>
          <w14:textFill>
            <w14:solidFill>
              <w14:schemeClr w14:val="tx1"/>
            </w14:solidFill>
          </w14:textFill>
        </w:rPr>
      </w:pPr>
      <w:r>
        <w:rPr>
          <w:rFonts w:hint="default" w:ascii="Times New Roman" w:hAnsi="Times New Roman" w:eastAsia="方正仿宋_GBK" w:cs="Times New Roman"/>
          <w:b/>
          <w:bCs/>
          <w:sz w:val="28"/>
          <w:szCs w:val="28"/>
          <w:lang w:val="en-US" w:eastAsia="zh-CN"/>
        </w:rPr>
        <w:t>说明：</w:t>
      </w:r>
      <w:r>
        <w:rPr>
          <w:rFonts w:hint="default" w:ascii="Times New Roman" w:hAnsi="Times New Roman" w:eastAsia="方正仿宋_GBK" w:cs="Times New Roman"/>
          <w:b w:val="0"/>
          <w:bCs w:val="0"/>
          <w:sz w:val="28"/>
          <w:szCs w:val="28"/>
          <w:lang w:val="en-US" w:eastAsia="zh-CN"/>
        </w:rPr>
        <w:t>请</w:t>
      </w:r>
      <w:r>
        <w:rPr>
          <w:rFonts w:hint="eastAsia" w:ascii="Times New Roman" w:hAnsi="Times New Roman" w:eastAsia="方正仿宋_GBK" w:cs="Times New Roman"/>
          <w:b w:val="0"/>
          <w:bCs w:val="0"/>
          <w:sz w:val="28"/>
          <w:szCs w:val="28"/>
          <w:lang w:val="en-US" w:eastAsia="zh-CN"/>
        </w:rPr>
        <w:t>务必正确</w:t>
      </w:r>
      <w:r>
        <w:rPr>
          <w:rFonts w:hint="default" w:ascii="Times New Roman" w:hAnsi="Times New Roman" w:eastAsia="方正仿宋_GBK" w:cs="Times New Roman"/>
          <w:b w:val="0"/>
          <w:bCs w:val="0"/>
          <w:sz w:val="28"/>
          <w:szCs w:val="28"/>
          <w:lang w:val="en-US" w:eastAsia="zh-CN"/>
        </w:rPr>
        <w:t>填写手机号，</w:t>
      </w:r>
      <w:r>
        <w:rPr>
          <w:rFonts w:hint="eastAsia" w:ascii="Times New Roman" w:hAnsi="Times New Roman" w:eastAsia="方正仿宋_GBK" w:cs="Times New Roman"/>
          <w:b w:val="0"/>
          <w:bCs w:val="0"/>
          <w:sz w:val="28"/>
          <w:szCs w:val="28"/>
          <w:lang w:val="en-US" w:eastAsia="zh-CN"/>
        </w:rPr>
        <w:t>首次登录在线</w:t>
      </w:r>
      <w:r>
        <w:rPr>
          <w:rFonts w:hint="default" w:ascii="Times New Roman" w:hAnsi="Times New Roman" w:eastAsia="方正仿宋_GBK" w:cs="Times New Roman"/>
          <w:b w:val="0"/>
          <w:bCs w:val="0"/>
          <w:sz w:val="28"/>
          <w:szCs w:val="28"/>
          <w:lang w:val="en-US" w:eastAsia="zh-CN"/>
        </w:rPr>
        <w:t>学习</w:t>
      </w:r>
      <w:r>
        <w:rPr>
          <w:rFonts w:hint="eastAsia" w:ascii="Times New Roman" w:hAnsi="Times New Roman" w:eastAsia="方正仿宋_GBK" w:cs="Times New Roman"/>
          <w:b w:val="0"/>
          <w:bCs w:val="0"/>
          <w:sz w:val="28"/>
          <w:szCs w:val="28"/>
          <w:lang w:val="en-US" w:eastAsia="zh-CN"/>
        </w:rPr>
        <w:t>平台需进行手机号验证</w:t>
      </w:r>
      <w:r>
        <w:rPr>
          <w:rFonts w:hint="default" w:ascii="Times New Roman" w:hAnsi="Times New Roman" w:eastAsia="方正仿宋_GBK" w:cs="Times New Roman"/>
          <w:b w:val="0"/>
          <w:bCs w:val="0"/>
          <w:sz w:val="28"/>
          <w:szCs w:val="28"/>
          <w:lang w:val="en-US" w:eastAsia="zh-CN"/>
        </w:rPr>
        <w:t>。</w:t>
      </w:r>
      <w:r>
        <w:rPr>
          <w:rFonts w:hint="eastAsia" w:ascii="Times New Roman" w:hAnsi="Times New Roman" w:eastAsia="方正仿宋_GBK" w:cs="Times New Roman"/>
          <w:b w:val="0"/>
          <w:bCs w:val="0"/>
          <w:sz w:val="28"/>
          <w:szCs w:val="28"/>
          <w:lang w:val="en-US" w:eastAsia="zh-CN"/>
        </w:rPr>
        <w:t>本表为Excel格式。</w:t>
      </w:r>
    </w:p>
    <w:sectPr>
      <w:footerReference r:id="rId3" w:type="default"/>
      <w:pgSz w:w="11906" w:h="16838"/>
      <w:pgMar w:top="1660" w:right="1800" w:bottom="1338"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37A507-4D08-49C7-8475-B957C81E959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5A06F19C-4949-4CB9-ABE4-4959D20EB616}"/>
  </w:font>
  <w:font w:name="方正仿宋_GB2312">
    <w:panose1 w:val="02000000000000000000"/>
    <w:charset w:val="86"/>
    <w:family w:val="auto"/>
    <w:pitch w:val="default"/>
    <w:sig w:usb0="A00002BF" w:usb1="184F6CFA" w:usb2="00000012" w:usb3="00000000" w:csb0="00040001" w:csb1="00000000"/>
    <w:embedRegular r:id="rId3" w:fontKey="{804235FE-A690-4BCC-A02B-59F08999505F}"/>
  </w:font>
  <w:font w:name="方正黑体_GBK">
    <w:panose1 w:val="02000000000000000000"/>
    <w:charset w:val="86"/>
    <w:family w:val="auto"/>
    <w:pitch w:val="default"/>
    <w:sig w:usb0="A00002BF" w:usb1="38CF7CFA" w:usb2="00082016" w:usb3="00000000" w:csb0="00040001" w:csb1="00000000"/>
    <w:embedRegular r:id="rId4" w:fontKey="{1F57ED55-FF3D-4336-B100-CEEF2BF7D197}"/>
  </w:font>
  <w:font w:name="仿宋">
    <w:panose1 w:val="02010609060101010101"/>
    <w:charset w:val="86"/>
    <w:family w:val="auto"/>
    <w:pitch w:val="default"/>
    <w:sig w:usb0="800002BF" w:usb1="38CF7CFA" w:usb2="00000016" w:usb3="00000000" w:csb0="00040001" w:csb1="00000000"/>
    <w:embedRegular r:id="rId5" w:fontKey="{EF7CD7BE-D73C-4B67-A403-B49BD4247739}"/>
  </w:font>
  <w:font w:name="方正仿宋_GBK">
    <w:panose1 w:val="02000000000000000000"/>
    <w:charset w:val="86"/>
    <w:family w:val="auto"/>
    <w:pitch w:val="default"/>
    <w:sig w:usb0="A00002BF" w:usb1="38CF7CFA" w:usb2="00082016" w:usb3="00000000" w:csb0="00040001" w:csb1="00000000"/>
    <w:embedRegular r:id="rId6" w:fontKey="{789CE018-1FCE-4527-BAC4-37E9F8CB2A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500A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488E2">
                          <w:pPr>
                            <w:pStyle w:val="2"/>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J8cQA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Z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fHEAMQIAAGEEAAAOAAAAAAAAAAEAIAAAAB8BAABkcnMvZTJvRG9jLnhtbFBLBQYA&#10;AAAABgAGAFkBAADCBQAAAAA=&#10;">
              <v:fill on="f" focussize="0,0"/>
              <v:stroke on="f" weight="0.5pt"/>
              <v:imagedata o:title=""/>
              <o:lock v:ext="edit" aspectratio="f"/>
              <v:textbox inset="0mm,0mm,0mm,0mm" style="mso-fit-shape-to-text:t;">
                <w:txbxContent>
                  <w:p w14:paraId="655488E2">
                    <w:pPr>
                      <w:pStyle w:val="2"/>
                      <w:rPr>
                        <w:rFonts w:hint="default"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385D57"/>
    <w:multiLevelType w:val="singleLevel"/>
    <w:tmpl w:val="02385D5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B246E2"/>
    <w:rsid w:val="00FA4BD4"/>
    <w:rsid w:val="0515295E"/>
    <w:rsid w:val="07D06CE7"/>
    <w:rsid w:val="08CA6E29"/>
    <w:rsid w:val="0CB246E2"/>
    <w:rsid w:val="0CD45C4C"/>
    <w:rsid w:val="0DBB2F0C"/>
    <w:rsid w:val="11397499"/>
    <w:rsid w:val="11CB1D14"/>
    <w:rsid w:val="143020D0"/>
    <w:rsid w:val="1468591A"/>
    <w:rsid w:val="15082475"/>
    <w:rsid w:val="15690030"/>
    <w:rsid w:val="179E79A9"/>
    <w:rsid w:val="1861202D"/>
    <w:rsid w:val="1A622032"/>
    <w:rsid w:val="1EFD452B"/>
    <w:rsid w:val="1F2A4302"/>
    <w:rsid w:val="1FE77CB2"/>
    <w:rsid w:val="221D2709"/>
    <w:rsid w:val="23270F39"/>
    <w:rsid w:val="246D2675"/>
    <w:rsid w:val="261461CC"/>
    <w:rsid w:val="2C272212"/>
    <w:rsid w:val="2CFE1FBC"/>
    <w:rsid w:val="337F42B4"/>
    <w:rsid w:val="33C74C15"/>
    <w:rsid w:val="35654ACB"/>
    <w:rsid w:val="38697C17"/>
    <w:rsid w:val="40B83B5E"/>
    <w:rsid w:val="4660212A"/>
    <w:rsid w:val="486400F0"/>
    <w:rsid w:val="4AC82A61"/>
    <w:rsid w:val="4AE2309B"/>
    <w:rsid w:val="4F2064F4"/>
    <w:rsid w:val="51C51F0A"/>
    <w:rsid w:val="52442AD1"/>
    <w:rsid w:val="539912AD"/>
    <w:rsid w:val="54234256"/>
    <w:rsid w:val="54A826B0"/>
    <w:rsid w:val="5AF32F97"/>
    <w:rsid w:val="5C1E6749"/>
    <w:rsid w:val="5D4E7523"/>
    <w:rsid w:val="5E44033B"/>
    <w:rsid w:val="5E980915"/>
    <w:rsid w:val="5EE5015A"/>
    <w:rsid w:val="61263231"/>
    <w:rsid w:val="613B7F48"/>
    <w:rsid w:val="62D00ABF"/>
    <w:rsid w:val="663C5897"/>
    <w:rsid w:val="6B151DA6"/>
    <w:rsid w:val="727D2BF6"/>
    <w:rsid w:val="729D3D2D"/>
    <w:rsid w:val="753C2269"/>
    <w:rsid w:val="76C27A63"/>
    <w:rsid w:val="76F372F9"/>
    <w:rsid w:val="77562203"/>
    <w:rsid w:val="77F36463"/>
    <w:rsid w:val="79AA6EA6"/>
    <w:rsid w:val="79F744BA"/>
    <w:rsid w:val="7A27487F"/>
    <w:rsid w:val="7A704644"/>
    <w:rsid w:val="7AB03A59"/>
    <w:rsid w:val="7C3F374D"/>
    <w:rsid w:val="7DF0025B"/>
    <w:rsid w:val="7E467283"/>
    <w:rsid w:val="7F6D062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1066</Words>
  <Characters>1098</Characters>
  <TotalTime>22</TotalTime>
  <ScaleCrop>false</ScaleCrop>
  <LinksUpToDate>false</LinksUpToDate>
  <CharactersWithSpaces>1098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2026-10-29T11:46:00Z</dcterms:created>
  <dc:creator>夏正刚</dc:creator>
  <cp:lastModifiedBy>振罡</cp:lastModifiedBy>
  <dcterms:modified xsi:type="dcterms:W3CDTF">2026-10-30T07:43:27Z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DC02EFAE338B4392A9465D8DAE91BDC5_13</vt:lpwstr>
  </property>
  <property fmtid="{D5CDD505-2E9C-101B-9397-08002B2CF9AE}" pid="4" name="KSOTemplateDocerSaveRecord">
    <vt:lpwstr>eyJoZGlkIjoiYzRjNTZmOGFjNjZhYzhhZDJkY2VmZmY1ZTE2ZDZlYjkiLCJ1c2VySWQiOiI0MTE4Njc4NDQifQ==</vt:lpwstr>
  </property>
</Properties>
</file>